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司法書士法人にて◯年間、不動産登記と商業登記を中心に年間◯件の申請業務を担当してきました。売買・相続・抵当権関連の登記に加え、会社設立や役員変更の手続き、成年後見申立書類の作成にも従事しています。金融機関や不動産仲介会社からの相談窓口を担い、必要書類の案内から決済当日の立会い、オンライン申請までを一貫して対応し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事業内容：不動産登記・商業登記を主軸とする司法書士法人（所員◯名、司法書士◯名）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所属・役職：司法書士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・売買・相続・抵当権設定抹消等の不動産登記申請書類の作成とオンライン申請（年間◯件）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・会社設立・役員変更・増資・本店移転などの商業登記手続き（年間◯件）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・相続案件の戸籍収集、相続関係説明図および遺産分割協議書の作成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・成年後見の申立書類作成と家庭裁判所への提出、依頼者への進行説明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・相続案件の進行表と必要書類チェックリストを整備し、案件完了までの平均日数を約◯日短縮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・金融機関・不動産仲介会社からの相談対応窓口を担当し、年間受任件数が約◯%増加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・不動産登記（所有権移転・相続・抵当権設定抹消・贈与）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・商業登記（設立・役員変更・本店移転・解散清算）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・登記ねっと・申請用総合ソフトによるオンライン申請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・戸籍等の職務上請求と相続関係説明図の作成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・司法書士（20XX年X月登録）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・簡裁訴訟代理等関係業務認定（20XX年X月認定）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相続案件を入口から完了まで途切れさせずに進める点が強みです。戸籍の収集と相続関係説明図の作成、相続人への連絡、遺産分割協議書の確認、登記完了までを自分で管理する進行表を整え、書類の差し替えによる手戻りを減らし、案件完了までの平均日数を約◯日短縮しました。貴事務所でも相続登記の初回相談から完了報告までを担い、依頼者への説明と期限管理の両面で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司法書士の職務経歴書テンプレート（例文入り）</dc:title>
  <dc:creator>RESUMY.AI</dc:creator>
  <cp:lastModifiedBy>Un-named</cp:lastModifiedBy>
  <cp:revision>1</cp:revision>
  <dcterms:created xsi:type="dcterms:W3CDTF">2026-10-22T15:48:52.651Z</dcterms:created>
  <dcterms:modified xsi:type="dcterms:W3CDTF">2026-10-22T15:48:52.651Z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